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222C92"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222C92"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C2829" w14:paraId="05EB0486" w14:textId="77777777" w:rsidTr="00326BE4">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94088CF" w:rsidR="009C2829" w:rsidRPr="000257FB" w:rsidRDefault="004C7065" w:rsidP="00326BE4">
            <w:pPr>
              <w:pStyle w:val="Header"/>
              <w:jc w:val="center"/>
              <w:rPr>
                <w:rFonts w:asciiTheme="majorHAnsi" w:hAnsiTheme="majorHAnsi"/>
                <w:b/>
              </w:rPr>
            </w:pPr>
            <w:r>
              <w:rPr>
                <w:rFonts w:asciiTheme="majorHAnsi" w:hAnsiTheme="majorHAnsi"/>
                <w:b/>
                <w:sz w:val="22"/>
              </w:rPr>
              <w:t xml:space="preserve">August </w:t>
            </w:r>
            <w:r w:rsidR="00326BE4">
              <w:rPr>
                <w:rFonts w:asciiTheme="majorHAnsi" w:hAnsiTheme="majorHAnsi"/>
                <w:b/>
                <w:sz w:val="22"/>
              </w:rPr>
              <w:t>17</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579825C8" w:rsidR="00936B3A" w:rsidRDefault="00936B3A" w:rsidP="003F0266">
            <w:pPr>
              <w:rPr>
                <w:rFonts w:ascii="Calibri Light" w:hAnsi="Calibri Light"/>
                <w:noProof/>
                <w:sz w:val="20"/>
              </w:rPr>
            </w:pPr>
          </w:p>
          <w:p w14:paraId="34F289AB" w14:textId="77777777" w:rsidR="00936B3A" w:rsidRDefault="00384C77" w:rsidP="008B6179">
            <w:pPr>
              <w:rPr>
                <w:rFonts w:ascii="Calibri Light" w:hAnsi="Calibri Light"/>
                <w:b/>
                <w:noProof/>
                <w:sz w:val="20"/>
              </w:rPr>
            </w:pPr>
            <w:r>
              <w:rPr>
                <w:rFonts w:ascii="Calibri Light" w:hAnsi="Calibri Light"/>
                <w:b/>
                <w:noProof/>
                <w:sz w:val="20"/>
              </w:rPr>
              <w:t>IMO</w:t>
            </w:r>
          </w:p>
          <w:p w14:paraId="5827F524" w14:textId="27E3A40E" w:rsidR="00384C77" w:rsidRPr="00384C77" w:rsidRDefault="00384C77" w:rsidP="00384C77">
            <w:pPr>
              <w:rPr>
                <w:rFonts w:ascii="Calibri Light" w:hAnsi="Calibri Light"/>
                <w:noProof/>
                <w:sz w:val="20"/>
              </w:rPr>
            </w:pPr>
            <w:r w:rsidRPr="00384C77">
              <w:rPr>
                <w:rFonts w:ascii="Calibri Light" w:hAnsi="Calibri Light"/>
                <w:noProof/>
                <w:sz w:val="20"/>
              </w:rPr>
              <w:t>Amber Torres-Milburn, Coor</w:t>
            </w:r>
            <w:r>
              <w:rPr>
                <w:rFonts w:ascii="Calibri Light" w:hAnsi="Calibri Light"/>
                <w:noProof/>
                <w:sz w:val="20"/>
              </w:rPr>
              <w:t>dinator II, will start</w:t>
            </w:r>
            <w:r w:rsidRPr="00384C77">
              <w:rPr>
                <w:rFonts w:ascii="Calibri Light" w:hAnsi="Calibri Light"/>
                <w:noProof/>
                <w:sz w:val="20"/>
              </w:rPr>
              <w:t xml:space="preserve"> August 26, 2017 (first day in the office will be Monday, August 28, 2017).</w:t>
            </w:r>
          </w:p>
          <w:p w14:paraId="62ED5B37" w14:textId="77777777" w:rsidR="00384C77" w:rsidRPr="00384C77" w:rsidRDefault="00384C77" w:rsidP="008B6179">
            <w:pPr>
              <w:rPr>
                <w:rFonts w:ascii="Calibri Light" w:hAnsi="Calibri Light"/>
                <w:noProof/>
                <w:sz w:val="20"/>
              </w:rPr>
            </w:pPr>
            <w:bookmarkStart w:id="0" w:name="_GoBack"/>
            <w:bookmarkEnd w:id="0"/>
          </w:p>
        </w:tc>
        <w:tc>
          <w:tcPr>
            <w:tcW w:w="614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682227E6" w14:textId="0EBAAA55" w:rsidR="004938E0" w:rsidRPr="005D163A" w:rsidRDefault="00326BE4" w:rsidP="004938E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Monthly financial update for July</w:t>
            </w:r>
            <w:r w:rsidR="004938E0">
              <w:rPr>
                <w:rFonts w:asciiTheme="majorHAnsi" w:eastAsia="Times New Roman" w:hAnsiTheme="majorHAnsi" w:cs="Arial"/>
                <w:b/>
                <w:color w:val="000000" w:themeColor="text1"/>
                <w:szCs w:val="20"/>
              </w:rPr>
              <w:t>:</w:t>
            </w:r>
          </w:p>
          <w:p w14:paraId="674671B4" w14:textId="1F60B7F9" w:rsidR="00CC3E2F" w:rsidRDefault="00326BE4" w:rsidP="00CC3E2F">
            <w:pPr>
              <w:rPr>
                <w:rFonts w:ascii="Calibri Light" w:hAnsi="Calibri Light"/>
                <w:sz w:val="21"/>
                <w:szCs w:val="21"/>
              </w:rPr>
            </w:pPr>
            <w:r w:rsidRPr="00326BE4">
              <w:rPr>
                <w:rFonts w:ascii="Calibri Light" w:hAnsi="Calibri Light"/>
                <w:sz w:val="21"/>
                <w:szCs w:val="21"/>
              </w:rPr>
              <w:t>UTMB’s financial performance for the month of July was better than planned. We anticipated a loss of $4.6 million in July; however, we had a positive margin of $1.1 million. We expected to see a $20.4 million loss at this point in the year, but our actual year-to-date performance reflects a positive margin of $4.1 million. The difference is due to higher-than-expected revenue in patient care and grants and contracts as well as lower-than-expected debt interest and depreciation expense. As we close out the fiscal year, we must continue to work together and watch our expenses and maximize revenue to meet budget targets. Thank you for your efforts and please keep up the good work.</w:t>
            </w:r>
          </w:p>
          <w:p w14:paraId="5C7E7EEE" w14:textId="77777777" w:rsidR="00326BE4" w:rsidRDefault="00326BE4" w:rsidP="00CC3E2F">
            <w:pPr>
              <w:rPr>
                <w:rFonts w:ascii="Calibri Light" w:hAnsi="Calibri Light"/>
                <w:sz w:val="21"/>
                <w:szCs w:val="21"/>
              </w:rPr>
            </w:pPr>
          </w:p>
          <w:p w14:paraId="64C6EDC9" w14:textId="1ACE06D1" w:rsidR="00326BE4" w:rsidRPr="005D163A" w:rsidRDefault="00326BE4" w:rsidP="00326BE4">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2F2F83A4" wp14:editId="4CD9F787">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Annual compliance training:</w:t>
            </w:r>
          </w:p>
          <w:p w14:paraId="69F6438E" w14:textId="77777777" w:rsidR="00326BE4" w:rsidRPr="00326BE4" w:rsidRDefault="00326BE4" w:rsidP="00326BE4">
            <w:pPr>
              <w:rPr>
                <w:rFonts w:ascii="Calibri Light" w:eastAsia="Times New Roman" w:hAnsi="Calibri Light"/>
                <w:sz w:val="21"/>
                <w:szCs w:val="21"/>
              </w:rPr>
            </w:pPr>
            <w:r w:rsidRPr="00326BE4">
              <w:rPr>
                <w:rFonts w:ascii="Calibri Light" w:eastAsia="Times New Roman" w:hAnsi="Calibri Light" w:cs="Arial"/>
                <w:color w:val="000000"/>
                <w:sz w:val="21"/>
                <w:szCs w:val="21"/>
                <w:shd w:val="clear" w:color="auto" w:fill="FFFFFF"/>
              </w:rPr>
              <w:t>All employees are required to complete annual compliance training based on their specific job duties and responsibilities by Aug. 31. Please take a few minutes today to log in to the </w:t>
            </w:r>
            <w:hyperlink r:id="rId14" w:history="1">
              <w:r w:rsidRPr="00326BE4">
                <w:rPr>
                  <w:rFonts w:ascii="Calibri Light" w:eastAsia="Times New Roman" w:hAnsi="Calibri Light" w:cs="Arial"/>
                  <w:color w:val="954F72"/>
                  <w:sz w:val="21"/>
                  <w:szCs w:val="21"/>
                  <w:u w:val="single"/>
                </w:rPr>
                <w:t>Enterprise Learning Management</w:t>
              </w:r>
            </w:hyperlink>
            <w:r w:rsidRPr="00326BE4">
              <w:rPr>
                <w:rFonts w:ascii="Calibri Light" w:eastAsia="Times New Roman" w:hAnsi="Calibri Light" w:cs="Arial"/>
                <w:color w:val="000000"/>
                <w:sz w:val="21"/>
                <w:szCs w:val="21"/>
                <w:shd w:val="clear" w:color="auto" w:fill="FFFFFF"/>
              </w:rPr>
              <w:t> (ELM) system to assure that all assigned training and activities have been completed. Employees who do not finish their training by the institutional deadline will be suspended without pay until all requirements are met. For assistance with accessing the ELM system, see </w:t>
            </w:r>
            <w:hyperlink r:id="rId15" w:history="1">
              <w:r w:rsidRPr="00326BE4">
                <w:rPr>
                  <w:rFonts w:ascii="Calibri Light" w:eastAsia="Times New Roman" w:hAnsi="Calibri Light" w:cs="Arial"/>
                  <w:color w:val="954F72"/>
                  <w:sz w:val="21"/>
                  <w:szCs w:val="21"/>
                  <w:u w:val="single"/>
                </w:rPr>
                <w:t>http://hr.utmb.edu/tod/elm/</w:t>
              </w:r>
            </w:hyperlink>
            <w:r w:rsidRPr="00326BE4">
              <w:rPr>
                <w:rFonts w:ascii="Calibri Light" w:eastAsia="Times New Roman" w:hAnsi="Calibri Light" w:cs="Arial"/>
                <w:color w:val="000000"/>
                <w:sz w:val="21"/>
                <w:szCs w:val="21"/>
                <w:shd w:val="clear" w:color="auto" w:fill="FFFFFF"/>
              </w:rPr>
              <w:t>. Any questions or concerns about your compliance training may be directed to your manager or the Office of Institutional Compliance at (409) 747-8700.</w:t>
            </w:r>
          </w:p>
          <w:p w14:paraId="7BD8687E" w14:textId="77777777" w:rsidR="00326BE4" w:rsidRPr="00326BE4" w:rsidRDefault="00326BE4" w:rsidP="00CC3E2F">
            <w:pPr>
              <w:rPr>
                <w:rFonts w:ascii="Calibri Light" w:hAnsi="Calibri Light"/>
                <w:sz w:val="21"/>
                <w:szCs w:val="21"/>
              </w:rPr>
            </w:pPr>
          </w:p>
          <w:p w14:paraId="387E8F9F" w14:textId="7BFDA381" w:rsidR="001365AE" w:rsidRPr="005D163A" w:rsidRDefault="001365AE" w:rsidP="001365AE">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Congratulations graduates:</w:t>
            </w:r>
          </w:p>
          <w:p w14:paraId="6A5886C0" w14:textId="77DB89F5" w:rsidR="001365AE" w:rsidRPr="000E1DD4" w:rsidRDefault="000E1DD4" w:rsidP="000E1DD4">
            <w:pPr>
              <w:rPr>
                <w:rFonts w:ascii="Calibri Light" w:hAnsi="Calibri Light"/>
                <w:sz w:val="21"/>
                <w:szCs w:val="21"/>
              </w:rPr>
            </w:pPr>
            <w:r w:rsidRPr="000E1DD4">
              <w:rPr>
                <w:rFonts w:ascii="Calibri Light" w:hAnsi="Calibri Light"/>
                <w:sz w:val="21"/>
                <w:szCs w:val="21"/>
              </w:rPr>
              <w:t xml:space="preserve">UTMB’s School of Health Professions celebrated </w:t>
            </w:r>
            <w:r>
              <w:rPr>
                <w:rFonts w:ascii="Calibri Light" w:hAnsi="Calibri Light"/>
                <w:sz w:val="21"/>
                <w:szCs w:val="21"/>
              </w:rPr>
              <w:t>c</w:t>
            </w:r>
            <w:r w:rsidRPr="000E1DD4">
              <w:rPr>
                <w:rFonts w:ascii="Calibri Light" w:hAnsi="Calibri Light"/>
                <w:sz w:val="21"/>
                <w:szCs w:val="21"/>
              </w:rPr>
              <w:t>ommencement on Aug. 11 at Moody Gardens in Galveston, with 362 graduates receiving degrees. Since opening its doors in 1968, the SHP has granted degrees and certificates to more than 11,000 graduates</w:t>
            </w:r>
            <w:r w:rsidR="001365AE" w:rsidRPr="000E1DD4">
              <w:rPr>
                <w:rFonts w:ascii="Calibri Light" w:hAnsi="Calibri Light"/>
                <w:sz w:val="21"/>
                <w:szCs w:val="21"/>
              </w:rPr>
              <w:t>.</w:t>
            </w:r>
          </w:p>
          <w:p w14:paraId="710DFE2A" w14:textId="77777777" w:rsidR="00CC3E2F" w:rsidRPr="00CC3E2F" w:rsidRDefault="00CC3E2F" w:rsidP="00CC3E2F">
            <w:pPr>
              <w:rPr>
                <w:rFonts w:ascii="Calibri Light" w:eastAsia="Times New Roman" w:hAnsi="Calibri Light"/>
                <w:sz w:val="21"/>
                <w:szCs w:val="21"/>
              </w:rPr>
            </w:pPr>
          </w:p>
          <w:p w14:paraId="308AA777" w14:textId="77777777" w:rsidR="00C4125A" w:rsidRDefault="00C4125A" w:rsidP="00C4125A">
            <w:pPr>
              <w:rPr>
                <w:rFonts w:ascii="Calibri" w:eastAsia="Times New Roman" w:hAnsi="Calibri"/>
                <w:color w:val="1F497D"/>
                <w:sz w:val="23"/>
                <w:szCs w:val="23"/>
                <w:shd w:val="clear" w:color="auto" w:fill="FFFFFF"/>
              </w:rPr>
            </w:pPr>
          </w:p>
          <w:p w14:paraId="73356C14" w14:textId="77777777" w:rsidR="00C4125A" w:rsidRDefault="00C4125A" w:rsidP="00C4125A">
            <w:pPr>
              <w:rPr>
                <w:rFonts w:ascii="Calibri" w:eastAsia="Times New Roman" w:hAnsi="Calibri"/>
                <w:color w:val="1F497D"/>
                <w:sz w:val="23"/>
                <w:szCs w:val="23"/>
                <w:shd w:val="clear" w:color="auto" w:fill="FFFFFF"/>
              </w:rPr>
            </w:pPr>
          </w:p>
          <w:p w14:paraId="6380420F" w14:textId="77777777" w:rsidR="00C4125A" w:rsidRDefault="00C4125A" w:rsidP="00C4125A">
            <w:pPr>
              <w:rPr>
                <w:rFonts w:eastAsia="Times New Roman"/>
              </w:rPr>
            </w:pPr>
          </w:p>
          <w:p w14:paraId="26AAB642" w14:textId="17A99A9A" w:rsidR="00AD7F67" w:rsidRPr="00C4125A" w:rsidRDefault="00AD7F67" w:rsidP="00733AEA">
            <w:pPr>
              <w:rPr>
                <w:rFonts w:ascii="Calibri Light" w:eastAsia="Times New Roman" w:hAnsi="Calibri Light"/>
                <w:sz w:val="21"/>
                <w:szCs w:val="21"/>
              </w:rPr>
            </w:pPr>
          </w:p>
          <w:p w14:paraId="5A3E3E43" w14:textId="77777777" w:rsidR="006F28BD" w:rsidRDefault="006F28BD" w:rsidP="00733AEA">
            <w:pPr>
              <w:rPr>
                <w:rFonts w:ascii="Calibri Light" w:eastAsia="Times New Roman" w:hAnsi="Calibri Light" w:cs="Arial"/>
                <w:color w:val="000000"/>
                <w:sz w:val="21"/>
                <w:szCs w:val="21"/>
                <w:shd w:val="clear" w:color="auto" w:fill="FFFFFF"/>
              </w:rPr>
            </w:pPr>
          </w:p>
          <w:p w14:paraId="33D5B003" w14:textId="6B8080BC" w:rsidR="006F28BD" w:rsidRPr="006F28BD" w:rsidRDefault="006F28BD" w:rsidP="00733AEA">
            <w:pPr>
              <w:rPr>
                <w:rFonts w:ascii="Calibri Light" w:eastAsia="Times New Roman" w:hAnsi="Calibri Light"/>
                <w:sz w:val="21"/>
                <w:szCs w:val="21"/>
              </w:rPr>
            </w:pPr>
          </w:p>
        </w:tc>
      </w:tr>
      <w:tr w:rsidR="009C2829" w14:paraId="10CA5146"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20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2"/>
        </w:trPr>
        <w:tc>
          <w:tcPr>
            <w:tcW w:w="5130" w:type="dxa"/>
            <w:gridSpan w:val="3"/>
            <w:vMerge w:val="restart"/>
            <w:tcBorders>
              <w:top w:val="single" w:sz="8" w:space="0" w:color="auto"/>
              <w:left w:val="single" w:sz="8" w:space="0" w:color="auto"/>
              <w:right w:val="single" w:sz="4" w:space="0" w:color="auto"/>
            </w:tcBorders>
          </w:tcPr>
          <w:p w14:paraId="34EE66EE" w14:textId="77777777" w:rsidR="00CC3E2F" w:rsidRDefault="00CC3E2F" w:rsidP="000317BD">
            <w:pPr>
              <w:rPr>
                <w:rFonts w:ascii="Calibri Light" w:hAnsi="Calibri Light" w:cs="Calibri"/>
                <w:sz w:val="21"/>
                <w:szCs w:val="21"/>
              </w:rPr>
            </w:pPr>
          </w:p>
          <w:p w14:paraId="5F63B3AE" w14:textId="56303593" w:rsidR="00486177" w:rsidRDefault="00486177" w:rsidP="00486177">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7536" behindDoc="0" locked="0" layoutInCell="1" allowOverlap="1" wp14:anchorId="4E5656CE" wp14:editId="614D0536">
                  <wp:simplePos x="0" y="0"/>
                  <wp:positionH relativeFrom="column">
                    <wp:posOffset>-40005</wp:posOffset>
                  </wp:positionH>
                  <wp:positionV relativeFrom="paragraph">
                    <wp:posOffset>50930</wp:posOffset>
                  </wp:positionV>
                  <wp:extent cx="266700" cy="227330"/>
                  <wp:effectExtent l="0" t="0" r="1270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reminder</w:t>
            </w:r>
            <w:r w:rsidR="0020359C">
              <w:rPr>
                <w:rFonts w:asciiTheme="majorHAnsi" w:hAnsiTheme="majorHAnsi"/>
                <w:b/>
              </w:rPr>
              <w:t xml:space="preserve"> of the week</w:t>
            </w:r>
            <w:r>
              <w:rPr>
                <w:rFonts w:asciiTheme="majorHAnsi" w:hAnsiTheme="majorHAnsi"/>
                <w:b/>
              </w:rPr>
              <w:t>:</w:t>
            </w:r>
            <w:r>
              <w:rPr>
                <w:rFonts w:ascii="Calibri Light" w:hAnsi="Calibri Light" w:cs="Arial"/>
                <w:bCs/>
                <w:color w:val="000000"/>
                <w:sz w:val="20"/>
                <w:szCs w:val="20"/>
              </w:rPr>
              <w:t xml:space="preserve"> </w:t>
            </w:r>
          </w:p>
          <w:p w14:paraId="622431A7" w14:textId="77777777" w:rsidR="0020359C" w:rsidRPr="0020359C" w:rsidRDefault="0020359C" w:rsidP="0020359C">
            <w:pPr>
              <w:rPr>
                <w:rFonts w:ascii="Calibri Light" w:eastAsia="Times New Roman" w:hAnsi="Calibri Light"/>
                <w:sz w:val="21"/>
                <w:szCs w:val="21"/>
              </w:rPr>
            </w:pPr>
            <w:r w:rsidRPr="0020359C">
              <w:rPr>
                <w:rFonts w:ascii="Calibri Light" w:eastAsia="Times New Roman" w:hAnsi="Calibri Light" w:cs="Arial"/>
                <w:color w:val="000000"/>
                <w:sz w:val="21"/>
                <w:szCs w:val="21"/>
                <w:shd w:val="clear" w:color="auto" w:fill="FFFFFF"/>
              </w:rPr>
              <w:t>Focus on oxygen connectors (also referred to as “Christmas Trees”): Please be aware that oxygen connectors are considered a </w:t>
            </w:r>
            <w:r w:rsidRPr="0020359C">
              <w:rPr>
                <w:rFonts w:ascii="Calibri Light" w:eastAsia="Times New Roman" w:hAnsi="Calibri Light" w:cs="Arial"/>
                <w:color w:val="000000"/>
                <w:sz w:val="21"/>
                <w:szCs w:val="21"/>
              </w:rPr>
              <w:t>single-patient use supply</w:t>
            </w:r>
            <w:r w:rsidRPr="0020359C">
              <w:rPr>
                <w:rFonts w:ascii="Calibri Light" w:eastAsia="Times New Roman" w:hAnsi="Calibri Light" w:cs="Arial"/>
                <w:color w:val="000000"/>
                <w:sz w:val="21"/>
                <w:szCs w:val="21"/>
                <w:shd w:val="clear" w:color="auto" w:fill="FFFFFF"/>
              </w:rPr>
              <w:t xml:space="preserve"> and must be changed between patients. Housekeeping or other designated persons in your unit will remove the connector along with the oxygen tubing, nasal cannula, masks, humidifier or other connected items. Clinicians and staff need to be able to describe this process. Materials Management has increased its stock to keep up with demand. As with other </w:t>
            </w:r>
            <w:proofErr w:type="spellStart"/>
            <w:r w:rsidRPr="0020359C">
              <w:rPr>
                <w:rFonts w:ascii="Calibri Light" w:eastAsia="Times New Roman" w:hAnsi="Calibri Light" w:cs="Arial"/>
                <w:color w:val="000000"/>
                <w:sz w:val="21"/>
                <w:szCs w:val="21"/>
                <w:shd w:val="clear" w:color="auto" w:fill="FFFFFF"/>
              </w:rPr>
              <w:t>OmniCell</w:t>
            </w:r>
            <w:proofErr w:type="spellEnd"/>
            <w:r w:rsidRPr="0020359C">
              <w:rPr>
                <w:rFonts w:ascii="Calibri Light" w:eastAsia="Times New Roman" w:hAnsi="Calibri Light" w:cs="Arial"/>
                <w:color w:val="000000"/>
                <w:sz w:val="21"/>
                <w:szCs w:val="21"/>
                <w:shd w:val="clear" w:color="auto" w:fill="FFFFFF"/>
              </w:rPr>
              <w:t xml:space="preserve"> items, it is the responsibility of each unit to adjust par levels for this need and alert Materials Management when stock is low.</w:t>
            </w:r>
          </w:p>
          <w:p w14:paraId="43382E9F" w14:textId="77777777" w:rsidR="00486177" w:rsidRDefault="00486177" w:rsidP="00486177">
            <w:pPr>
              <w:rPr>
                <w:rFonts w:ascii="Calibri Light" w:eastAsia="Times New Roman" w:hAnsi="Calibri Light"/>
                <w:sz w:val="21"/>
                <w:szCs w:val="21"/>
              </w:rPr>
            </w:pPr>
          </w:p>
          <w:p w14:paraId="08A410FD" w14:textId="0B41C69E" w:rsidR="00486177" w:rsidRDefault="0020359C" w:rsidP="00486177">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9584" behindDoc="0" locked="0" layoutInCell="1" allowOverlap="1" wp14:anchorId="6641A5AA" wp14:editId="7F7D67CF">
                  <wp:simplePos x="0" y="0"/>
                  <wp:positionH relativeFrom="column">
                    <wp:posOffset>1270</wp:posOffset>
                  </wp:positionH>
                  <wp:positionV relativeFrom="paragraph">
                    <wp:posOffset>3175</wp:posOffset>
                  </wp:positionV>
                  <wp:extent cx="199390" cy="2324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00486177">
              <w:rPr>
                <w:rFonts w:asciiTheme="majorHAnsi" w:hAnsiTheme="majorHAnsi"/>
                <w:b/>
              </w:rPr>
              <w:t xml:space="preserve">       </w:t>
            </w:r>
            <w:r>
              <w:rPr>
                <w:rFonts w:asciiTheme="majorHAnsi" w:hAnsiTheme="majorHAnsi"/>
                <w:b/>
              </w:rPr>
              <w:t>New clinical research standard operating procedures (SOPs)</w:t>
            </w:r>
            <w:r w:rsidR="00DC1983">
              <w:rPr>
                <w:rFonts w:asciiTheme="majorHAnsi" w:hAnsiTheme="majorHAnsi"/>
                <w:b/>
              </w:rPr>
              <w:t>:</w:t>
            </w:r>
          </w:p>
          <w:p w14:paraId="397AB352" w14:textId="17C70175" w:rsidR="00486177" w:rsidRPr="0020359C" w:rsidRDefault="0020359C" w:rsidP="000317BD">
            <w:pPr>
              <w:rPr>
                <w:rFonts w:ascii="Calibri Light" w:eastAsia="Times New Roman" w:hAnsi="Calibri Light"/>
                <w:sz w:val="21"/>
                <w:szCs w:val="21"/>
              </w:rPr>
            </w:pPr>
            <w:r w:rsidRPr="0020359C">
              <w:rPr>
                <w:rFonts w:ascii="Calibri Light" w:eastAsia="Times New Roman" w:hAnsi="Calibri Light" w:cs="Arial"/>
                <w:color w:val="000000"/>
                <w:sz w:val="21"/>
                <w:szCs w:val="21"/>
                <w:shd w:val="clear" w:color="auto" w:fill="FFFFFF"/>
              </w:rPr>
              <w:t>As part of UTMB’s commitment to enhance clinical research quality, standard operating procedures (SOPs) have been developed by a diverse group of experienced investigators, study staff and OCR personnel. These SOPs are step-by-step instructions that help investigators and study staff carry out routine study operations. The currently approved SOPs go into effect Sept. 1 and can be accessed at </w:t>
            </w:r>
            <w:hyperlink r:id="rId20" w:history="1">
              <w:r w:rsidRPr="0020359C">
                <w:rPr>
                  <w:rStyle w:val="Hyperlink"/>
                  <w:rFonts w:ascii="Calibri Light" w:eastAsia="Times New Roman" w:hAnsi="Calibri Light" w:cs="Arial"/>
                  <w:color w:val="954F72"/>
                  <w:sz w:val="21"/>
                  <w:szCs w:val="21"/>
                </w:rPr>
                <w:t>https://research.utmb.edu/home/office-of-clinical-research</w:t>
              </w:r>
            </w:hyperlink>
            <w:r w:rsidRPr="0020359C">
              <w:rPr>
                <w:rFonts w:ascii="Calibri Light" w:eastAsia="Times New Roman" w:hAnsi="Calibri Light" w:cs="Arial"/>
                <w:color w:val="000000"/>
                <w:sz w:val="21"/>
                <w:szCs w:val="21"/>
                <w:shd w:val="clear" w:color="auto" w:fill="FFFFFF"/>
              </w:rPr>
              <w:t>. New SOPs will be posted approximately 30 days prior to their effective date.</w:t>
            </w:r>
          </w:p>
        </w:tc>
        <w:tc>
          <w:tcPr>
            <w:tcW w:w="6143" w:type="dxa"/>
            <w:gridSpan w:val="2"/>
            <w:tcBorders>
              <w:left w:val="single" w:sz="4" w:space="0" w:color="auto"/>
              <w:right w:val="single" w:sz="8" w:space="0" w:color="auto"/>
            </w:tcBorders>
            <w:shd w:val="clear" w:color="auto" w:fill="FFFFFF" w:themeFill="background1"/>
          </w:tcPr>
          <w:p w14:paraId="18380013" w14:textId="692E50E7" w:rsidR="009B6D01" w:rsidRPr="00486177" w:rsidRDefault="009B6D01" w:rsidP="00486177">
            <w:pPr>
              <w:rPr>
                <w:rFonts w:ascii="Calibri Light" w:eastAsia="Times New Roman" w:hAnsi="Calibri Light" w:cs="Arial"/>
                <w:color w:val="A6A6A6" w:themeColor="background1" w:themeShade="A6"/>
                <w:sz w:val="21"/>
                <w:szCs w:val="21"/>
              </w:rPr>
            </w:pPr>
          </w:p>
        </w:tc>
      </w:tr>
      <w:tr w:rsidR="00824F3C" w14:paraId="09FE0D10" w14:textId="77777777" w:rsidTr="0020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0"/>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614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14DBFDC6" w:rsidR="00F00004" w:rsidRPr="00326BE4" w:rsidRDefault="00326BE4" w:rsidP="00326BE4">
            <w:pPr>
              <w:rPr>
                <w:rFonts w:ascii="Calibri Light" w:hAnsi="Calibri Light"/>
                <w:sz w:val="21"/>
                <w:szCs w:val="21"/>
              </w:rPr>
            </w:pPr>
            <w:r w:rsidRPr="0020359C">
              <w:rPr>
                <w:rFonts w:ascii="Calibri" w:hAnsi="Calibri"/>
                <w:b/>
                <w:bCs/>
                <w:sz w:val="21"/>
                <w:szCs w:val="21"/>
              </w:rPr>
              <w:t>Dr. Hector P. Garcia</w:t>
            </w:r>
            <w:r w:rsidRPr="00326BE4">
              <w:rPr>
                <w:rFonts w:ascii="Calibri Light" w:hAnsi="Calibri Light"/>
                <w:sz w:val="21"/>
                <w:szCs w:val="21"/>
              </w:rPr>
              <w:t xml:space="preserve">, a 1940 graduate of UTMB’s School of Medicine, was known throughout Texas, and the nation, as someone who worked tirelessly to make life better for all Americans, especially Mexican Americans. He steadfastly believed no one should be denied access to health care for any reason—especially ethnicity or socioeconomic status—and that everyone should have the right to an education. A decorated World War II veteran, Medal of Freedom recipient, UN ambassador, and devoted physician and family man, Dr. Garcia taught us that we can all make a difference against injustice in the world. The annual celebration of Dr. Garcia’s life is part of an awards luncheon sponsored by the Office of the President and the Hispanic Center of Excellence on </w:t>
            </w:r>
            <w:r w:rsidRPr="0020359C">
              <w:rPr>
                <w:rFonts w:ascii="Calibri" w:hAnsi="Calibri"/>
                <w:b/>
                <w:bCs/>
                <w:sz w:val="21"/>
                <w:szCs w:val="21"/>
              </w:rPr>
              <w:t>Sept. 8</w:t>
            </w:r>
            <w:r w:rsidRPr="00326BE4">
              <w:rPr>
                <w:rFonts w:ascii="Calibri Light" w:hAnsi="Calibri Light"/>
                <w:sz w:val="21"/>
                <w:szCs w:val="21"/>
              </w:rPr>
              <w:t xml:space="preserve"> from 11:30 a.m. to 1 p.m. in the Levin Hall Dining Room. This year’s guest speaker is Texas Sen. Juan “</w:t>
            </w:r>
            <w:proofErr w:type="spellStart"/>
            <w:r w:rsidRPr="00326BE4">
              <w:rPr>
                <w:rFonts w:ascii="Calibri Light" w:hAnsi="Calibri Light"/>
                <w:sz w:val="21"/>
                <w:szCs w:val="21"/>
              </w:rPr>
              <w:t>Chuy</w:t>
            </w:r>
            <w:proofErr w:type="spellEnd"/>
            <w:r w:rsidRPr="00326BE4">
              <w:rPr>
                <w:rFonts w:ascii="Calibri Light" w:hAnsi="Calibri Light"/>
                <w:sz w:val="21"/>
                <w:szCs w:val="21"/>
              </w:rPr>
              <w:t>” Hinojosa. Please RSVP for the luncheon by Sept. 4 to Robin Baker, Office of University Events at </w:t>
            </w:r>
            <w:hyperlink r:id="rId21" w:history="1">
              <w:r w:rsidRPr="0020359C">
                <w:rPr>
                  <w:rFonts w:ascii="Calibri Light" w:hAnsi="Calibri Light"/>
                  <w:color w:val="FF0000"/>
                  <w:sz w:val="21"/>
                  <w:szCs w:val="21"/>
                  <w:u w:val="single"/>
                </w:rPr>
                <w:t>events.oua@utmb.edu</w:t>
              </w:r>
            </w:hyperlink>
            <w:r w:rsidRPr="00326BE4">
              <w:rPr>
                <w:rFonts w:ascii="Calibri Light" w:hAnsi="Calibri Light"/>
                <w:sz w:val="21"/>
                <w:szCs w:val="21"/>
              </w:rPr>
              <w:t xml:space="preserve"> or by calling (409) 747-6735. </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2"/>
      <w:footerReference w:type="first" r:id="rId2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D1B59" w14:textId="77777777" w:rsidR="00F43BDA" w:rsidRDefault="00F43BDA" w:rsidP="00874B86">
      <w:r>
        <w:separator/>
      </w:r>
    </w:p>
  </w:endnote>
  <w:endnote w:type="continuationSeparator" w:id="0">
    <w:p w14:paraId="1454CF64" w14:textId="77777777" w:rsidR="00F43BDA" w:rsidRDefault="00F43BDA"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B6A3D" w14:textId="77777777" w:rsidR="00F43BDA" w:rsidRDefault="00F43BDA" w:rsidP="00874B86">
      <w:r>
        <w:separator/>
      </w:r>
    </w:p>
  </w:footnote>
  <w:footnote w:type="continuationSeparator" w:id="0">
    <w:p w14:paraId="6F9CE910" w14:textId="77777777" w:rsidR="00F43BDA" w:rsidRDefault="00F43BDA"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222C92">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C47F85"/>
    <w:multiLevelType w:val="hybridMultilevel"/>
    <w:tmpl w:val="D1E83CB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nsid w:val="0D680ABC"/>
    <w:multiLevelType w:val="multilevel"/>
    <w:tmpl w:val="E69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B834D4"/>
    <w:multiLevelType w:val="multilevel"/>
    <w:tmpl w:val="DA2C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0210A5"/>
    <w:multiLevelType w:val="multilevel"/>
    <w:tmpl w:val="83DC1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A65C8"/>
    <w:multiLevelType w:val="hybridMultilevel"/>
    <w:tmpl w:val="D0FE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5">
    <w:nsid w:val="5E8B4407"/>
    <w:multiLevelType w:val="hybridMultilevel"/>
    <w:tmpl w:val="EA9CE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2E483E"/>
    <w:multiLevelType w:val="multilevel"/>
    <w:tmpl w:val="92682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C264BD9"/>
    <w:multiLevelType w:val="multilevel"/>
    <w:tmpl w:val="F03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DCC533B"/>
    <w:multiLevelType w:val="multilevel"/>
    <w:tmpl w:val="9198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E0A0B71"/>
    <w:multiLevelType w:val="multilevel"/>
    <w:tmpl w:val="46DE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1"/>
  </w:num>
  <w:num w:numId="3">
    <w:abstractNumId w:val="19"/>
  </w:num>
  <w:num w:numId="4">
    <w:abstractNumId w:val="0"/>
  </w:num>
  <w:num w:numId="5">
    <w:abstractNumId w:val="1"/>
  </w:num>
  <w:num w:numId="6">
    <w:abstractNumId w:val="2"/>
  </w:num>
  <w:num w:numId="7">
    <w:abstractNumId w:val="4"/>
  </w:num>
  <w:num w:numId="8">
    <w:abstractNumId w:val="24"/>
  </w:num>
  <w:num w:numId="9">
    <w:abstractNumId w:val="12"/>
  </w:num>
  <w:num w:numId="10">
    <w:abstractNumId w:val="15"/>
  </w:num>
  <w:num w:numId="11">
    <w:abstractNumId w:val="14"/>
  </w:num>
  <w:num w:numId="12">
    <w:abstractNumId w:val="7"/>
  </w:num>
  <w:num w:numId="13">
    <w:abstractNumId w:val="20"/>
  </w:num>
  <w:num w:numId="14">
    <w:abstractNumId w:val="17"/>
  </w:num>
  <w:num w:numId="15">
    <w:abstractNumId w:val="31"/>
  </w:num>
  <w:num w:numId="16">
    <w:abstractNumId w:val="13"/>
  </w:num>
  <w:num w:numId="17">
    <w:abstractNumId w:val="29"/>
  </w:num>
  <w:num w:numId="18">
    <w:abstractNumId w:val="8"/>
  </w:num>
  <w:num w:numId="19">
    <w:abstractNumId w:val="18"/>
  </w:num>
  <w:num w:numId="20">
    <w:abstractNumId w:val="26"/>
  </w:num>
  <w:num w:numId="21">
    <w:abstractNumId w:val="32"/>
  </w:num>
  <w:num w:numId="22">
    <w:abstractNumId w:val="11"/>
  </w:num>
  <w:num w:numId="23">
    <w:abstractNumId w:val="23"/>
  </w:num>
  <w:num w:numId="24">
    <w:abstractNumId w:val="27"/>
  </w:num>
  <w:num w:numId="25">
    <w:abstractNumId w:val="9"/>
  </w:num>
  <w:num w:numId="26">
    <w:abstractNumId w:val="30"/>
  </w:num>
  <w:num w:numId="27">
    <w:abstractNumId w:val="5"/>
  </w:num>
  <w:num w:numId="28">
    <w:abstractNumId w:val="34"/>
  </w:num>
  <w:num w:numId="29">
    <w:abstractNumId w:val="28"/>
  </w:num>
  <w:num w:numId="30">
    <w:abstractNumId w:val="10"/>
  </w:num>
  <w:num w:numId="31">
    <w:abstractNumId w:val="33"/>
  </w:num>
  <w:num w:numId="32">
    <w:abstractNumId w:val="16"/>
  </w:num>
  <w:num w:numId="33">
    <w:abstractNumId w:val="25"/>
  </w:num>
  <w:num w:numId="34">
    <w:abstractNumId w:val="22"/>
  </w:num>
  <w:num w:numId="3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8142C"/>
    <w:rsid w:val="0008270F"/>
    <w:rsid w:val="00085BFB"/>
    <w:rsid w:val="00087000"/>
    <w:rsid w:val="00090A81"/>
    <w:rsid w:val="00093965"/>
    <w:rsid w:val="000966FD"/>
    <w:rsid w:val="000A26D9"/>
    <w:rsid w:val="000A297A"/>
    <w:rsid w:val="000A36B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76F3"/>
    <w:rsid w:val="001325DC"/>
    <w:rsid w:val="001365AE"/>
    <w:rsid w:val="00151100"/>
    <w:rsid w:val="00153DDE"/>
    <w:rsid w:val="0016087C"/>
    <w:rsid w:val="00161A12"/>
    <w:rsid w:val="00166476"/>
    <w:rsid w:val="001767B8"/>
    <w:rsid w:val="001838A0"/>
    <w:rsid w:val="00183D7B"/>
    <w:rsid w:val="00190040"/>
    <w:rsid w:val="001A2490"/>
    <w:rsid w:val="001A64DA"/>
    <w:rsid w:val="001A6D43"/>
    <w:rsid w:val="001A7128"/>
    <w:rsid w:val="001A732C"/>
    <w:rsid w:val="001B5AE8"/>
    <w:rsid w:val="001B7C99"/>
    <w:rsid w:val="001C4A7F"/>
    <w:rsid w:val="001D239E"/>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2C92"/>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87C5A"/>
    <w:rsid w:val="0029184A"/>
    <w:rsid w:val="00291B1E"/>
    <w:rsid w:val="002945FF"/>
    <w:rsid w:val="00297C7D"/>
    <w:rsid w:val="00297EB4"/>
    <w:rsid w:val="002A1314"/>
    <w:rsid w:val="002A389B"/>
    <w:rsid w:val="002A43E0"/>
    <w:rsid w:val="002B4013"/>
    <w:rsid w:val="002B6F31"/>
    <w:rsid w:val="002C19C8"/>
    <w:rsid w:val="002C33E2"/>
    <w:rsid w:val="002C3CE6"/>
    <w:rsid w:val="002D0DE5"/>
    <w:rsid w:val="002D51F3"/>
    <w:rsid w:val="002D762C"/>
    <w:rsid w:val="002E05A2"/>
    <w:rsid w:val="002F312B"/>
    <w:rsid w:val="002F3332"/>
    <w:rsid w:val="002F5710"/>
    <w:rsid w:val="003136F1"/>
    <w:rsid w:val="00314842"/>
    <w:rsid w:val="00321AF8"/>
    <w:rsid w:val="003224F1"/>
    <w:rsid w:val="00324F34"/>
    <w:rsid w:val="00326BE4"/>
    <w:rsid w:val="0033116D"/>
    <w:rsid w:val="00332E95"/>
    <w:rsid w:val="003352C1"/>
    <w:rsid w:val="00336E1A"/>
    <w:rsid w:val="00337455"/>
    <w:rsid w:val="0034257F"/>
    <w:rsid w:val="003442B5"/>
    <w:rsid w:val="00353BB0"/>
    <w:rsid w:val="00360B73"/>
    <w:rsid w:val="0036546F"/>
    <w:rsid w:val="00366EDC"/>
    <w:rsid w:val="00381C8B"/>
    <w:rsid w:val="00383F66"/>
    <w:rsid w:val="00384C77"/>
    <w:rsid w:val="003929D4"/>
    <w:rsid w:val="003960FE"/>
    <w:rsid w:val="003A09D9"/>
    <w:rsid w:val="003A164D"/>
    <w:rsid w:val="003A20EF"/>
    <w:rsid w:val="003A3D5E"/>
    <w:rsid w:val="003A4577"/>
    <w:rsid w:val="003B75F3"/>
    <w:rsid w:val="003C139A"/>
    <w:rsid w:val="003C153E"/>
    <w:rsid w:val="003C4E41"/>
    <w:rsid w:val="003C7C60"/>
    <w:rsid w:val="003D0B4E"/>
    <w:rsid w:val="003D338D"/>
    <w:rsid w:val="003D7706"/>
    <w:rsid w:val="003D7E2A"/>
    <w:rsid w:val="003E061E"/>
    <w:rsid w:val="003E3FC0"/>
    <w:rsid w:val="003E5BB0"/>
    <w:rsid w:val="003F0266"/>
    <w:rsid w:val="003F3914"/>
    <w:rsid w:val="00415311"/>
    <w:rsid w:val="00420426"/>
    <w:rsid w:val="00423432"/>
    <w:rsid w:val="00427614"/>
    <w:rsid w:val="0042789B"/>
    <w:rsid w:val="004344E8"/>
    <w:rsid w:val="004442B2"/>
    <w:rsid w:val="00452691"/>
    <w:rsid w:val="00456E37"/>
    <w:rsid w:val="0046357C"/>
    <w:rsid w:val="00463E09"/>
    <w:rsid w:val="00463F9C"/>
    <w:rsid w:val="00466810"/>
    <w:rsid w:val="0047101D"/>
    <w:rsid w:val="0048017F"/>
    <w:rsid w:val="004858C4"/>
    <w:rsid w:val="00486177"/>
    <w:rsid w:val="004938E0"/>
    <w:rsid w:val="00496356"/>
    <w:rsid w:val="004A2F43"/>
    <w:rsid w:val="004A48A1"/>
    <w:rsid w:val="004A6B9E"/>
    <w:rsid w:val="004A7BEA"/>
    <w:rsid w:val="004B3A59"/>
    <w:rsid w:val="004C1619"/>
    <w:rsid w:val="004C3BE1"/>
    <w:rsid w:val="004C4313"/>
    <w:rsid w:val="004C7065"/>
    <w:rsid w:val="004F5E00"/>
    <w:rsid w:val="004F74F1"/>
    <w:rsid w:val="004F7EC6"/>
    <w:rsid w:val="0050013D"/>
    <w:rsid w:val="00502D6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68AF"/>
    <w:rsid w:val="006D30D7"/>
    <w:rsid w:val="006E1D9C"/>
    <w:rsid w:val="006E6A62"/>
    <w:rsid w:val="006F28BD"/>
    <w:rsid w:val="006F5026"/>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1186"/>
    <w:rsid w:val="007E5EBB"/>
    <w:rsid w:val="007F5801"/>
    <w:rsid w:val="007F788A"/>
    <w:rsid w:val="008032C3"/>
    <w:rsid w:val="00803F67"/>
    <w:rsid w:val="00804F92"/>
    <w:rsid w:val="00816D2E"/>
    <w:rsid w:val="00817D05"/>
    <w:rsid w:val="0082303B"/>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149D"/>
    <w:rsid w:val="00892C65"/>
    <w:rsid w:val="00897939"/>
    <w:rsid w:val="008A23CB"/>
    <w:rsid w:val="008B019A"/>
    <w:rsid w:val="008B1118"/>
    <w:rsid w:val="008B1EE6"/>
    <w:rsid w:val="008B6179"/>
    <w:rsid w:val="008B6234"/>
    <w:rsid w:val="008B7918"/>
    <w:rsid w:val="008C17A5"/>
    <w:rsid w:val="008D56B1"/>
    <w:rsid w:val="008E04CB"/>
    <w:rsid w:val="008E05F6"/>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4F5"/>
    <w:rsid w:val="00956B0E"/>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D2F90"/>
    <w:rsid w:val="009D36E9"/>
    <w:rsid w:val="009D55B1"/>
    <w:rsid w:val="009E0224"/>
    <w:rsid w:val="009E1548"/>
    <w:rsid w:val="009E4D05"/>
    <w:rsid w:val="009E5FAD"/>
    <w:rsid w:val="009F19C8"/>
    <w:rsid w:val="009F504E"/>
    <w:rsid w:val="009F6435"/>
    <w:rsid w:val="009F7C23"/>
    <w:rsid w:val="00A109FA"/>
    <w:rsid w:val="00A1295B"/>
    <w:rsid w:val="00A211B2"/>
    <w:rsid w:val="00A2200E"/>
    <w:rsid w:val="00A24C8F"/>
    <w:rsid w:val="00A301CE"/>
    <w:rsid w:val="00A33081"/>
    <w:rsid w:val="00A44121"/>
    <w:rsid w:val="00A454B2"/>
    <w:rsid w:val="00A6456D"/>
    <w:rsid w:val="00A73B89"/>
    <w:rsid w:val="00A76BDE"/>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D7F67"/>
    <w:rsid w:val="00AE72FD"/>
    <w:rsid w:val="00AF2AA4"/>
    <w:rsid w:val="00AF5DE4"/>
    <w:rsid w:val="00AF61B3"/>
    <w:rsid w:val="00B03D08"/>
    <w:rsid w:val="00B14985"/>
    <w:rsid w:val="00B20F58"/>
    <w:rsid w:val="00B21C31"/>
    <w:rsid w:val="00B25A59"/>
    <w:rsid w:val="00B26D15"/>
    <w:rsid w:val="00B32644"/>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3F74"/>
    <w:rsid w:val="00C175F9"/>
    <w:rsid w:val="00C25165"/>
    <w:rsid w:val="00C270F3"/>
    <w:rsid w:val="00C30B6C"/>
    <w:rsid w:val="00C400DB"/>
    <w:rsid w:val="00C4125A"/>
    <w:rsid w:val="00C46906"/>
    <w:rsid w:val="00C50B15"/>
    <w:rsid w:val="00C53DFD"/>
    <w:rsid w:val="00C545D1"/>
    <w:rsid w:val="00C60C5A"/>
    <w:rsid w:val="00C61C42"/>
    <w:rsid w:val="00C70AA9"/>
    <w:rsid w:val="00C7271C"/>
    <w:rsid w:val="00C74D16"/>
    <w:rsid w:val="00C80144"/>
    <w:rsid w:val="00C8425F"/>
    <w:rsid w:val="00C9451D"/>
    <w:rsid w:val="00C946A6"/>
    <w:rsid w:val="00C954D2"/>
    <w:rsid w:val="00CA08F1"/>
    <w:rsid w:val="00CB2EB1"/>
    <w:rsid w:val="00CB3E9C"/>
    <w:rsid w:val="00CB52BA"/>
    <w:rsid w:val="00CB7A7D"/>
    <w:rsid w:val="00CC3714"/>
    <w:rsid w:val="00CC3E2F"/>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E0391"/>
    <w:rsid w:val="00DE2079"/>
    <w:rsid w:val="00DE2631"/>
    <w:rsid w:val="00DF0D21"/>
    <w:rsid w:val="00DF616F"/>
    <w:rsid w:val="00E0041B"/>
    <w:rsid w:val="00E00956"/>
    <w:rsid w:val="00E02442"/>
    <w:rsid w:val="00E02826"/>
    <w:rsid w:val="00E03985"/>
    <w:rsid w:val="00E11899"/>
    <w:rsid w:val="00E12CC3"/>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2BB0"/>
    <w:rsid w:val="00F43BDA"/>
    <w:rsid w:val="00F446B2"/>
    <w:rsid w:val="00F46838"/>
    <w:rsid w:val="00F46FF8"/>
    <w:rsid w:val="00F5234B"/>
    <w:rsid w:val="00F610ED"/>
    <w:rsid w:val="00F75CAB"/>
    <w:rsid w:val="00F8146E"/>
    <w:rsid w:val="00F900D9"/>
    <w:rsid w:val="00F90B4D"/>
    <w:rsid w:val="00F91275"/>
    <w:rsid w:val="00F91754"/>
    <w:rsid w:val="00F94D61"/>
    <w:rsid w:val="00F9573C"/>
    <w:rsid w:val="00F97CB0"/>
    <w:rsid w:val="00F97CB7"/>
    <w:rsid w:val="00F97CED"/>
    <w:rsid w:val="00FA0541"/>
    <w:rsid w:val="00FA1A08"/>
    <w:rsid w:val="00FA5C0E"/>
    <w:rsid w:val="00FA78D1"/>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D4"/>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155160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mailto:events.oua@utmb.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research.utmb.edu/home/office-of-clinical-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r.utmb.edu/tod/el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ebizlearn.utmb.edu/psp/ps/?cmd=login&amp;languageCd=ENG&amp;"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8ED33-8108-43EF-9E06-085246BE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2017-08-17T16:32:00Z</cp:lastPrinted>
  <dcterms:created xsi:type="dcterms:W3CDTF">2017-08-22T18:47:00Z</dcterms:created>
  <dcterms:modified xsi:type="dcterms:W3CDTF">2017-08-22T18:47:00Z</dcterms:modified>
</cp:coreProperties>
</file>